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w:t>
      </w:r>
      <w:r w:rsidR="00EE7633">
        <w:rPr>
          <w:rFonts w:ascii="Tahoma" w:eastAsia="Times New Roman" w:hAnsi="Tahoma" w:cs="Tahoma"/>
          <w:b/>
          <w:sz w:val="20"/>
          <w:szCs w:val="20"/>
          <w:lang w:eastAsia="ru-RU"/>
        </w:rPr>
        <w:t>Сыктывкар</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w:t>
      </w:r>
      <w:proofErr w:type="gramStart"/>
      <w:r w:rsidRPr="00B44068">
        <w:rPr>
          <w:rFonts w:ascii="Tahoma" w:eastAsia="Times New Roman" w:hAnsi="Tahoma" w:cs="Tahoma"/>
          <w:b/>
          <w:sz w:val="20"/>
          <w:szCs w:val="20"/>
          <w:lang w:eastAsia="ru-RU"/>
        </w:rPr>
        <w:t xml:space="preserve">   «</w:t>
      </w:r>
      <w:proofErr w:type="gramEnd"/>
      <w:r w:rsidRPr="00B44068">
        <w:rPr>
          <w:rFonts w:ascii="Tahoma" w:eastAsia="Times New Roman" w:hAnsi="Tahoma" w:cs="Tahoma"/>
          <w:b/>
          <w:sz w:val="20"/>
          <w:szCs w:val="20"/>
          <w:lang w:eastAsia="ru-RU"/>
        </w:rPr>
        <w:t>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w:t>
      </w:r>
      <w:r w:rsidR="00EE7633">
        <w:rPr>
          <w:rFonts w:ascii="Tahoma" w:eastAsia="Times New Roman" w:hAnsi="Tahoma" w:cs="Tahoma"/>
          <w:b/>
          <w:sz w:val="20"/>
          <w:szCs w:val="20"/>
          <w:lang w:eastAsia="ru-RU"/>
        </w:rPr>
        <w:t>Коми энергосбытовая компания</w:t>
      </w:r>
      <w:r w:rsidRPr="00B44068">
        <w:rPr>
          <w:rFonts w:ascii="Tahoma" w:eastAsia="Times New Roman" w:hAnsi="Tahoma" w:cs="Tahoma"/>
          <w:b/>
          <w:sz w:val="20"/>
          <w:szCs w:val="20"/>
          <w:lang w:eastAsia="ru-RU"/>
        </w:rPr>
        <w:t>»</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w:t>
      </w:r>
      <w:r w:rsidR="00EE7633">
        <w:rPr>
          <w:rFonts w:ascii="Tahoma" w:eastAsia="Times New Roman" w:hAnsi="Tahoma" w:cs="Tahoma"/>
          <w:b/>
          <w:sz w:val="20"/>
          <w:szCs w:val="20"/>
          <w:lang w:eastAsia="ru-RU"/>
        </w:rPr>
        <w:t>Коми энергосбытовая компания</w:t>
      </w:r>
      <w:r w:rsidRPr="00B44068">
        <w:rPr>
          <w:rFonts w:ascii="Tahoma" w:eastAsia="Times New Roman" w:hAnsi="Tahoma" w:cs="Tahoma"/>
          <w:b/>
          <w:sz w:val="20"/>
          <w:szCs w:val="20"/>
          <w:lang w:eastAsia="ru-RU"/>
        </w:rPr>
        <w:t>»</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w:t>
      </w:r>
      <w:r w:rsidR="00EE7633">
        <w:rPr>
          <w:rFonts w:ascii="Tahoma" w:hAnsi="Tahoma" w:cs="Tahoma"/>
          <w:sz w:val="20"/>
          <w:szCs w:val="20"/>
        </w:rPr>
        <w:t>Генерального директора</w:t>
      </w:r>
      <w:r w:rsidRPr="00B44068">
        <w:rPr>
          <w:rFonts w:ascii="Tahoma" w:hAnsi="Tahoma" w:cs="Tahoma"/>
          <w:sz w:val="20"/>
          <w:szCs w:val="20"/>
        </w:rPr>
        <w:t xml:space="preserve"> </w:t>
      </w:r>
      <w:r w:rsidR="00EE7633">
        <w:rPr>
          <w:rFonts w:ascii="Tahoma" w:hAnsi="Tahoma" w:cs="Tahoma"/>
          <w:sz w:val="20"/>
          <w:szCs w:val="20"/>
        </w:rPr>
        <w:t>Борисовой Елены Николаевны</w:t>
      </w:r>
      <w:r w:rsidRPr="00B44068">
        <w:rPr>
          <w:rFonts w:ascii="Tahoma" w:hAnsi="Tahoma" w:cs="Tahoma"/>
          <w:sz w:val="20"/>
          <w:szCs w:val="20"/>
        </w:rPr>
        <w:t>, действующего на основании</w:t>
      </w:r>
      <w:r w:rsidR="00EE7633">
        <w:rPr>
          <w:rFonts w:ascii="Tahoma" w:hAnsi="Tahoma" w:cs="Tahoma"/>
          <w:sz w:val="20"/>
          <w:szCs w:val="20"/>
        </w:rPr>
        <w:t xml:space="preserve"> Устава</w:t>
      </w:r>
      <w:r w:rsidRPr="00B44068">
        <w:rPr>
          <w:rFonts w:ascii="Tahoma" w:hAnsi="Tahoma" w:cs="Tahoma"/>
          <w:sz w:val="20"/>
          <w:szCs w:val="20"/>
        </w:rPr>
        <w:t xml:space="preserve">,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0667FD" w:rsidRPr="00B44068">
        <w:rPr>
          <w:rFonts w:ascii="Tahoma" w:eastAsia="Times New Roman" w:hAnsi="Tahoma" w:cs="Tahoma"/>
          <w:sz w:val="20"/>
          <w:szCs w:val="20"/>
          <w:lang w:eastAsia="ru-RU"/>
        </w:rPr>
        <w:t>серверное</w:t>
      </w:r>
      <w:r w:rsidR="00E4123B" w:rsidRPr="00B44068">
        <w:rPr>
          <w:rFonts w:ascii="Tahoma" w:eastAsia="Times New Roman" w:hAnsi="Tahoma" w:cs="Tahoma"/>
          <w:sz w:val="20"/>
          <w:szCs w:val="20"/>
          <w:lang w:eastAsia="ru-RU"/>
        </w:rPr>
        <w:t xml:space="preserve"> оборудование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BB612D">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4D66" w:rsidRPr="00E51FDA" w:rsidRDefault="00721598" w:rsidP="002077B5">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E51FDA">
        <w:rPr>
          <w:rFonts w:ascii="Tahoma" w:eastAsia="Times New Roman" w:hAnsi="Tahoma" w:cs="Tahoma"/>
          <w:sz w:val="20"/>
          <w:szCs w:val="20"/>
          <w:lang w:eastAsia="ru-RU"/>
        </w:rPr>
        <w:t xml:space="preserve">Оплата Продукции, производится Покупателем в </w:t>
      </w:r>
      <w:r w:rsidRPr="00E51FDA">
        <w:rPr>
          <w:rFonts w:ascii="Tahoma" w:hAnsi="Tahoma" w:cs="Tahoma"/>
          <w:sz w:val="20"/>
          <w:szCs w:val="20"/>
        </w:rPr>
        <w:t xml:space="preserve">течение 7 </w:t>
      </w:r>
      <w:r w:rsidR="00FF4D66" w:rsidRPr="00E51FDA">
        <w:rPr>
          <w:rFonts w:ascii="Tahoma" w:eastAsia="Times New Roman" w:hAnsi="Tahoma" w:cs="Tahoma"/>
          <w:sz w:val="20"/>
          <w:szCs w:val="20"/>
          <w:lang w:eastAsia="ru-RU"/>
        </w:rPr>
        <w:t xml:space="preserve">(семи) рабочих дней </w:t>
      </w:r>
      <w:r w:rsidR="00FF4D66" w:rsidRPr="00E51FDA">
        <w:rPr>
          <w:rFonts w:ascii="Tahoma" w:hAnsi="Tahoma" w:cs="Tahoma"/>
          <w:sz w:val="20"/>
          <w:szCs w:val="20"/>
        </w:rPr>
        <w:t xml:space="preserve">с даты поставки Продукции (даты подписания </w:t>
      </w:r>
      <w:r w:rsidR="00FF4D66" w:rsidRPr="00E51FDA">
        <w:rPr>
          <w:rFonts w:ascii="Tahoma" w:eastAsia="Times New Roman" w:hAnsi="Tahoma" w:cs="Tahoma"/>
          <w:sz w:val="20"/>
          <w:szCs w:val="20"/>
          <w:lang w:eastAsia="ru-RU"/>
        </w:rPr>
        <w:t>Покупателем подписанной\-ого и направленной\-ого ему Поставщиком</w:t>
      </w:r>
      <w:r w:rsidR="00FF4D66" w:rsidRPr="00E51FDA">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DE1E9A" w:rsidRPr="00B44068">
        <w:rPr>
          <w:rFonts w:ascii="Tahoma" w:eastAsia="Times New Roman" w:hAnsi="Tahoma" w:cs="Tahoma"/>
          <w:sz w:val="20"/>
          <w:szCs w:val="20"/>
          <w:lang w:eastAsia="ar-SA"/>
        </w:rPr>
        <w:t>36</w:t>
      </w:r>
      <w:r w:rsidRPr="00B44068">
        <w:rPr>
          <w:rFonts w:ascii="Tahoma" w:eastAsia="Times New Roman" w:hAnsi="Tahoma" w:cs="Tahoma"/>
          <w:sz w:val="20"/>
          <w:szCs w:val="20"/>
          <w:lang w:eastAsia="ar-SA"/>
        </w:rPr>
        <w:t xml:space="preserve"> (</w:t>
      </w:r>
      <w:r w:rsidR="00DE1E9A" w:rsidRPr="00B44068">
        <w:rPr>
          <w:rFonts w:ascii="Tahoma" w:eastAsia="Times New Roman" w:hAnsi="Tahoma" w:cs="Tahoma"/>
          <w:sz w:val="20"/>
          <w:szCs w:val="20"/>
          <w:lang w:eastAsia="ar-SA"/>
        </w:rPr>
        <w:t>тридцать шесть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xml:space="preserve">. за период до 30-го дня просрочки, к Покупателю не применяются. Неустойка рассчитывается по формуле простых </w:t>
      </w:r>
      <w:r w:rsidRPr="00B44068">
        <w:rPr>
          <w:rFonts w:ascii="Tahoma" w:hAnsi="Tahoma" w:cs="Tahoma"/>
          <w:sz w:val="20"/>
          <w:szCs w:val="20"/>
        </w:rPr>
        <w:lastRenderedPageBreak/>
        <w:t>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lastRenderedPageBreak/>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w:t>
      </w:r>
      <w:r w:rsidR="006A028F">
        <w:rPr>
          <w:rFonts w:ascii="Tahoma" w:hAnsi="Tahoma" w:cs="Tahoma"/>
          <w:sz w:val="20"/>
          <w:szCs w:val="20"/>
          <w:lang w:eastAsia="ru-RU"/>
        </w:rPr>
        <w:t>Коми энергосбытовая компания</w:t>
      </w:r>
      <w:r w:rsidRPr="00B44068">
        <w:rPr>
          <w:rFonts w:ascii="Tahoma" w:hAnsi="Tahoma" w:cs="Tahoma"/>
          <w:sz w:val="20"/>
          <w:szCs w:val="20"/>
          <w:lang w:eastAsia="ru-RU"/>
        </w:rPr>
        <w:t>»</w:t>
      </w:r>
    </w:p>
    <w:p w:rsidR="000667FD" w:rsidRPr="00B44068" w:rsidRDefault="006A028F"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167000</w:t>
      </w:r>
      <w:r w:rsidR="000667FD" w:rsidRPr="00B44068">
        <w:rPr>
          <w:rFonts w:ascii="Tahoma" w:hAnsi="Tahoma" w:cs="Tahoma"/>
          <w:sz w:val="20"/>
          <w:szCs w:val="20"/>
          <w:lang w:eastAsia="ru-RU"/>
        </w:rPr>
        <w:t>,</w:t>
      </w:r>
      <w:r>
        <w:rPr>
          <w:rFonts w:ascii="Tahoma" w:hAnsi="Tahoma" w:cs="Tahoma"/>
          <w:sz w:val="20"/>
          <w:szCs w:val="20"/>
          <w:lang w:eastAsia="ru-RU"/>
        </w:rPr>
        <w:t>Республика Коми</w:t>
      </w:r>
      <w:r w:rsidR="000667FD" w:rsidRPr="00B44068">
        <w:rPr>
          <w:rFonts w:ascii="Tahoma" w:hAnsi="Tahoma" w:cs="Tahoma"/>
          <w:sz w:val="20"/>
          <w:szCs w:val="20"/>
          <w:lang w:eastAsia="ru-RU"/>
        </w:rPr>
        <w:t xml:space="preserve">, г. </w:t>
      </w:r>
      <w:r>
        <w:rPr>
          <w:rFonts w:ascii="Tahoma" w:hAnsi="Tahoma" w:cs="Tahoma"/>
          <w:sz w:val="20"/>
          <w:szCs w:val="20"/>
          <w:lang w:eastAsia="ru-RU"/>
        </w:rPr>
        <w:t>Сыктывкар</w:t>
      </w:r>
      <w:r w:rsidR="000667FD" w:rsidRPr="00B44068">
        <w:rPr>
          <w:rFonts w:ascii="Tahoma" w:hAnsi="Tahoma" w:cs="Tahoma"/>
          <w:sz w:val="20"/>
          <w:szCs w:val="20"/>
          <w:lang w:eastAsia="ru-RU"/>
        </w:rPr>
        <w:t xml:space="preserve">, </w:t>
      </w:r>
      <w:r>
        <w:rPr>
          <w:rFonts w:ascii="Tahoma" w:hAnsi="Tahoma" w:cs="Tahoma"/>
          <w:sz w:val="20"/>
          <w:szCs w:val="20"/>
          <w:lang w:eastAsia="ru-RU"/>
        </w:rPr>
        <w:t xml:space="preserve">ул. Первомайская </w:t>
      </w:r>
      <w:r w:rsidR="000667FD" w:rsidRPr="00B44068">
        <w:rPr>
          <w:rFonts w:ascii="Tahoma" w:hAnsi="Tahoma" w:cs="Tahoma"/>
          <w:sz w:val="20"/>
          <w:szCs w:val="20"/>
          <w:lang w:eastAsia="ru-RU"/>
        </w:rPr>
        <w:t xml:space="preserve">, д </w:t>
      </w:r>
      <w:r>
        <w:rPr>
          <w:rFonts w:ascii="Tahoma" w:hAnsi="Tahoma" w:cs="Tahoma"/>
          <w:sz w:val="20"/>
          <w:szCs w:val="20"/>
          <w:lang w:eastAsia="ru-RU"/>
        </w:rPr>
        <w:t>70</w:t>
      </w:r>
      <w:r w:rsidR="000667FD" w:rsidRPr="00B44068">
        <w:rPr>
          <w:rFonts w:ascii="Tahoma" w:hAnsi="Tahoma" w:cs="Tahoma"/>
          <w:sz w:val="20"/>
          <w:szCs w:val="20"/>
          <w:lang w:eastAsia="ru-RU"/>
        </w:rPr>
        <w:t xml:space="preserve">, </w:t>
      </w:r>
      <w:r>
        <w:rPr>
          <w:rFonts w:ascii="Tahoma" w:hAnsi="Tahoma" w:cs="Tahoma"/>
          <w:sz w:val="20"/>
          <w:szCs w:val="20"/>
          <w:lang w:eastAsia="ru-RU"/>
        </w:rPr>
        <w:t>корп.</w:t>
      </w:r>
      <w:r w:rsidR="000667FD" w:rsidRPr="00B44068">
        <w:rPr>
          <w:rFonts w:ascii="Tahoma" w:hAnsi="Tahoma" w:cs="Tahoma"/>
          <w:sz w:val="20"/>
          <w:szCs w:val="20"/>
          <w:lang w:eastAsia="ru-RU"/>
        </w:rPr>
        <w:t xml:space="preserve"> </w:t>
      </w:r>
      <w:r>
        <w:rPr>
          <w:rFonts w:ascii="Tahoma" w:hAnsi="Tahoma" w:cs="Tahoma"/>
          <w:sz w:val="20"/>
          <w:szCs w:val="20"/>
          <w:lang w:eastAsia="ru-RU"/>
        </w:rPr>
        <w:t>«б»</w:t>
      </w:r>
      <w:r w:rsidR="000667FD" w:rsidRPr="00B44068">
        <w:rPr>
          <w:rFonts w:ascii="Tahoma" w:hAnsi="Tahoma" w:cs="Tahoma"/>
          <w:sz w:val="20"/>
          <w:szCs w:val="20"/>
          <w:lang w:eastAsia="ru-RU"/>
        </w:rPr>
        <w:t xml:space="preserve">, </w:t>
      </w:r>
      <w:r>
        <w:rPr>
          <w:rFonts w:ascii="Tahoma" w:hAnsi="Tahoma" w:cs="Tahoma"/>
          <w:sz w:val="20"/>
          <w:szCs w:val="20"/>
          <w:lang w:eastAsia="ru-RU"/>
        </w:rPr>
        <w:t>Ким Антон Витальевич</w:t>
      </w:r>
      <w:r w:rsidR="000667FD" w:rsidRPr="00B44068">
        <w:rPr>
          <w:rFonts w:ascii="Tahoma" w:hAnsi="Tahoma" w:cs="Tahoma"/>
          <w:sz w:val="20"/>
          <w:szCs w:val="20"/>
          <w:lang w:eastAsia="ru-RU"/>
        </w:rPr>
        <w:t xml:space="preserve"> </w:t>
      </w:r>
      <w:hyperlink r:id="rId8" w:history="1">
        <w:r w:rsidRPr="00535D1B">
          <w:rPr>
            <w:rStyle w:val="a8"/>
            <w:rFonts w:ascii="Tahoma" w:hAnsi="Tahoma" w:cs="Tahoma"/>
            <w:sz w:val="20"/>
            <w:szCs w:val="20"/>
            <w:lang w:eastAsia="ru-RU"/>
          </w:rPr>
          <w:t>Anton.Kim@tplusgroup.ru</w:t>
        </w:r>
      </w:hyperlink>
      <w:r>
        <w:rPr>
          <w:rFonts w:ascii="Tahoma" w:hAnsi="Tahoma" w:cs="Tahoma"/>
          <w:sz w:val="20"/>
          <w:szCs w:val="20"/>
          <w:lang w:eastAsia="ru-RU"/>
        </w:rPr>
        <w:t xml:space="preserve"> +79042309165</w:t>
      </w: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6A028F" w:rsidRDefault="00721598" w:rsidP="006A028F">
      <w:pPr>
        <w:overflowPunct w:val="0"/>
        <w:autoSpaceDE w:val="0"/>
        <w:autoSpaceDN w:val="0"/>
        <w:spacing w:after="0" w:line="240" w:lineRule="auto"/>
        <w:ind w:left="360"/>
        <w:contextualSpacing/>
        <w:jc w:val="both"/>
        <w:textAlignment w:val="baseline"/>
        <w:rPr>
          <w:rFonts w:ascii="Tahoma" w:hAnsi="Tahoma" w:cs="Tahoma"/>
          <w:sz w:val="20"/>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6A028F">
        <w:rPr>
          <w:rFonts w:ascii="Tahoma" w:hAnsi="Tahoma" w:cs="Tahoma"/>
          <w:sz w:val="20"/>
          <w:szCs w:val="20"/>
          <w:lang w:eastAsia="ru-RU"/>
        </w:rPr>
        <w:t>Ким Антон Витальевич</w:t>
      </w:r>
      <w:r w:rsidR="006A028F" w:rsidRPr="00B44068">
        <w:rPr>
          <w:rFonts w:ascii="Tahoma" w:hAnsi="Tahoma" w:cs="Tahoma"/>
          <w:sz w:val="20"/>
          <w:szCs w:val="20"/>
          <w:lang w:eastAsia="ru-RU"/>
        </w:rPr>
        <w:t xml:space="preserve"> </w:t>
      </w:r>
      <w:hyperlink r:id="rId9" w:history="1">
        <w:r w:rsidR="006A028F" w:rsidRPr="00535D1B">
          <w:rPr>
            <w:rStyle w:val="a8"/>
            <w:rFonts w:ascii="Tahoma" w:hAnsi="Tahoma" w:cs="Tahoma"/>
            <w:sz w:val="20"/>
            <w:szCs w:val="20"/>
            <w:lang w:eastAsia="ru-RU"/>
          </w:rPr>
          <w:t>Anton.Kim@tplusgroup.ru</w:t>
        </w:r>
      </w:hyperlink>
      <w:r w:rsidR="006A028F">
        <w:rPr>
          <w:rFonts w:ascii="Tahoma" w:hAnsi="Tahoma" w:cs="Tahoma"/>
          <w:sz w:val="20"/>
          <w:szCs w:val="20"/>
          <w:lang w:eastAsia="ru-RU"/>
        </w:rPr>
        <w:t xml:space="preserve"> +79042309165</w:t>
      </w:r>
      <w:r w:rsidR="008371B1" w:rsidRPr="006A028F">
        <w:rPr>
          <w:rFonts w:ascii="Tahoma" w:hAnsi="Tahoma" w:cs="Tahoma"/>
          <w:sz w:val="20"/>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lastRenderedPageBreak/>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 xml:space="preserve">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proofErr w:type="gramStart"/>
      <w:r w:rsidRPr="00B44068">
        <w:rPr>
          <w:rFonts w:ascii="Tahoma" w:hAnsi="Tahoma" w:cs="Tahoma"/>
          <w:sz w:val="20"/>
          <w:szCs w:val="20"/>
        </w:rPr>
        <w:t>=&lt;</w:t>
      </w:r>
      <w:proofErr w:type="gramEnd"/>
      <w:r w:rsidRPr="00B44068">
        <w:rPr>
          <w:rFonts w:ascii="Tahoma" w:hAnsi="Tahoma" w:cs="Tahoma"/>
          <w:sz w:val="20"/>
          <w:szCs w:val="20"/>
        </w:rPr>
        <w: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w:t>
      </w:r>
      <w:proofErr w:type="gramStart"/>
      <w:r w:rsidRPr="00B44068">
        <w:rPr>
          <w:rFonts w:ascii="Tahoma" w:hAnsi="Tahoma" w:cs="Tahoma"/>
          <w:sz w:val="20"/>
        </w:rPr>
        <w:t>6.-</w:t>
      </w:r>
      <w:proofErr w:type="gramEnd"/>
      <w:r w:rsidRPr="00B44068">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856"/>
        <w:gridCol w:w="5529"/>
      </w:tblGrid>
      <w:tr w:rsidR="006A028F" w:rsidRPr="001953E7" w:rsidTr="001953E7">
        <w:trPr>
          <w:trHeight w:val="99"/>
        </w:trPr>
        <w:tc>
          <w:tcPr>
            <w:tcW w:w="3856" w:type="dxa"/>
            <w:tcBorders>
              <w:top w:val="single" w:sz="4"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sz w:val="20"/>
                <w:szCs w:val="20"/>
              </w:rPr>
              <w:br w:type="page"/>
            </w:r>
            <w:r w:rsidRPr="001953E7">
              <w:rPr>
                <w:rFonts w:ascii="Tahoma" w:hAnsi="Tahoma" w:cs="Tahoma"/>
                <w:b/>
                <w:sz w:val="20"/>
                <w:szCs w:val="20"/>
              </w:rPr>
              <w:t>Покупатель</w:t>
            </w:r>
          </w:p>
        </w:tc>
        <w:tc>
          <w:tcPr>
            <w:tcW w:w="5529" w:type="dxa"/>
            <w:tcBorders>
              <w:top w:val="single" w:sz="4" w:space="0" w:color="auto"/>
              <w:left w:val="single" w:sz="6" w:space="0" w:color="auto"/>
              <w:bottom w:val="single" w:sz="6" w:space="0" w:color="auto"/>
              <w:right w:val="single" w:sz="6" w:space="0" w:color="auto"/>
            </w:tcBorders>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b/>
                <w:sz w:val="20"/>
                <w:szCs w:val="20"/>
              </w:rPr>
              <w:t>АО «Коми энергосбытовая компания»</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ИНН</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1101301856</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КПП</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Style w:val="itemtext1"/>
                <w:rFonts w:ascii="Tahoma" w:hAnsi="Tahoma" w:cs="Tahoma"/>
                <w:b w:val="0"/>
                <w:sz w:val="20"/>
              </w:rPr>
              <w:t>785150001</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Юридический адрес</w:t>
            </w:r>
            <w:r w:rsidR="001953E7">
              <w:rPr>
                <w:rFonts w:ascii="Tahoma" w:hAnsi="Tahoma" w:cs="Tahoma"/>
                <w:sz w:val="20"/>
                <w:szCs w:val="20"/>
              </w:rPr>
              <w:t xml:space="preserve"> </w:t>
            </w:r>
            <w:r w:rsidRPr="001953E7">
              <w:rPr>
                <w:rFonts w:ascii="Tahoma" w:hAnsi="Tahoma" w:cs="Tahoma"/>
                <w:sz w:val="20"/>
                <w:szCs w:val="20"/>
              </w:rPr>
              <w:t>/</w:t>
            </w:r>
            <w:r w:rsidR="001953E7">
              <w:rPr>
                <w:rFonts w:ascii="Tahoma" w:hAnsi="Tahoma" w:cs="Tahoma"/>
                <w:sz w:val="20"/>
                <w:szCs w:val="20"/>
              </w:rPr>
              <w:t xml:space="preserve"> </w:t>
            </w:r>
            <w:r w:rsidRPr="001953E7">
              <w:rPr>
                <w:rFonts w:ascii="Tahoma" w:hAnsi="Tahoma" w:cs="Tahoma"/>
                <w:sz w:val="20"/>
                <w:szCs w:val="20"/>
              </w:rPr>
              <w:t>Почтовый адрес</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167000, г. Сыктывкар,  ул. Первомайская, д. 70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Банк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Коми ОСБ № 8617 г. Сыктывкар</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Расчетный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40702810828000114785</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Корреспондентский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30101810400000000640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048702640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b/>
                <w:sz w:val="20"/>
                <w:szCs w:val="20"/>
              </w:rPr>
              <w:t>Поставщик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9"/>
              <w:tabs>
                <w:tab w:val="left" w:pos="5103"/>
              </w:tabs>
              <w:rPr>
                <w:rFonts w:ascii="Tahoma" w:hAnsi="Tahoma" w:cs="Tahoma"/>
                <w:b/>
                <w:sz w:val="20"/>
                <w:szCs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ИНН</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КПП</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Юридический адрес</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 xml:space="preserve">Банк </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Iauiue"/>
              <w:tabs>
                <w:tab w:val="left" w:pos="5103"/>
              </w:tabs>
              <w:ind w:left="34"/>
              <w:rPr>
                <w:rFonts w:ascii="Tahoma" w:hAnsi="Tahoma" w:cs="Tahoma"/>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Расчетный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Корреспондентский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Pr="00B44068" w:rsidRDefault="006A028F" w:rsidP="00B44068">
      <w:pPr>
        <w:spacing w:after="0" w:line="240" w:lineRule="auto"/>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A028F" w:rsidRPr="00A75F86" w:rsidTr="00444135">
        <w:tc>
          <w:tcPr>
            <w:tcW w:w="4678" w:type="dxa"/>
          </w:tcPr>
          <w:p w:rsidR="006A028F" w:rsidRPr="00A75F86" w:rsidRDefault="006A028F" w:rsidP="00444135">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A028F" w:rsidRPr="00A75F86" w:rsidRDefault="006A028F" w:rsidP="00444135">
            <w:pPr>
              <w:snapToGrid w:val="0"/>
              <w:spacing w:after="0" w:line="240" w:lineRule="auto"/>
              <w:jc w:val="both"/>
              <w:rPr>
                <w:rFonts w:ascii="Tahoma" w:hAnsi="Tahoma" w:cs="Tahoma"/>
                <w:sz w:val="20"/>
                <w:szCs w:val="20"/>
                <w:lang w:eastAsia="ru-RU"/>
              </w:rPr>
            </w:pPr>
          </w:p>
        </w:tc>
        <w:tc>
          <w:tcPr>
            <w:tcW w:w="5103" w:type="dxa"/>
          </w:tcPr>
          <w:p w:rsidR="006A028F" w:rsidRPr="00A75F86" w:rsidRDefault="006A028F" w:rsidP="00444135">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A028F" w:rsidRPr="00A75F86" w:rsidTr="00444135">
        <w:tc>
          <w:tcPr>
            <w:tcW w:w="4678" w:type="dxa"/>
          </w:tcPr>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Pr>
                <w:rFonts w:ascii="Tahoma" w:eastAsia="Arial Unicode MS" w:hAnsi="Tahoma" w:cs="Tahoma"/>
                <w:bCs/>
                <w:sz w:val="20"/>
                <w:szCs w:val="20"/>
                <w:lang w:eastAsia="ru-RU"/>
              </w:rPr>
              <w:t>Борисова</w:t>
            </w:r>
            <w:r w:rsidRPr="00A75F86">
              <w:rPr>
                <w:rFonts w:ascii="Tahoma" w:eastAsia="Arial Unicode MS" w:hAnsi="Tahoma" w:cs="Tahoma"/>
                <w:bCs/>
                <w:sz w:val="20"/>
                <w:szCs w:val="20"/>
                <w:lang w:eastAsia="ru-RU"/>
              </w:rPr>
              <w:t xml:space="preserve"> </w:t>
            </w:r>
            <w:r>
              <w:rPr>
                <w:rFonts w:ascii="Tahoma" w:eastAsia="Arial Unicode MS" w:hAnsi="Tahoma" w:cs="Tahoma"/>
                <w:bCs/>
                <w:sz w:val="20"/>
                <w:szCs w:val="20"/>
                <w:lang w:eastAsia="ru-RU"/>
              </w:rPr>
              <w:t>Е</w:t>
            </w:r>
            <w:r w:rsidRPr="00A75F86">
              <w:rPr>
                <w:rFonts w:ascii="Tahoma" w:eastAsia="Arial Unicode MS" w:hAnsi="Tahoma" w:cs="Tahoma"/>
                <w:bCs/>
                <w:sz w:val="20"/>
                <w:szCs w:val="20"/>
                <w:lang w:eastAsia="ru-RU"/>
              </w:rPr>
              <w:t>.</w:t>
            </w:r>
            <w:r>
              <w:rPr>
                <w:rFonts w:ascii="Tahoma" w:eastAsia="Arial Unicode MS" w:hAnsi="Tahoma" w:cs="Tahoma"/>
                <w:bCs/>
                <w:sz w:val="20"/>
                <w:szCs w:val="20"/>
                <w:lang w:eastAsia="ru-RU"/>
              </w:rPr>
              <w:t>Н</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A028F" w:rsidRPr="00E931AC" w:rsidRDefault="006A028F" w:rsidP="00444135">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r>
              <w:rPr>
                <w:rFonts w:ascii="Tahoma" w:eastAsia="Arial Unicode MS" w:hAnsi="Tahoma" w:cs="Tahoma"/>
                <w:bCs/>
                <w:iCs/>
                <w:sz w:val="20"/>
                <w:szCs w:val="20"/>
                <w:lang w:eastAsia="ru-RU"/>
              </w:rPr>
              <w:t xml:space="preserve">                             </w:t>
            </w:r>
          </w:p>
        </w:tc>
      </w:tr>
    </w:tbl>
    <w:p w:rsidR="00EC13FA" w:rsidRPr="00B44068" w:rsidRDefault="00EC13FA" w:rsidP="00B44068">
      <w:pPr>
        <w:spacing w:after="0" w:line="240" w:lineRule="auto"/>
        <w:rPr>
          <w:rFonts w:ascii="Tahoma" w:eastAsia="Times New Roman" w:hAnsi="Tahoma" w:cs="Tahoma"/>
          <w:sz w:val="20"/>
          <w:szCs w:val="20"/>
          <w:lang w:eastAsia="ru-RU"/>
        </w:rPr>
      </w:pPr>
    </w:p>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51FDA" w:rsidRDefault="00E51FDA">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B44068" w:rsidTr="00EC13FA">
        <w:trPr>
          <w:trHeight w:val="70"/>
          <w:tblHeader/>
        </w:trPr>
        <w:tc>
          <w:tcPr>
            <w:tcW w:w="56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 п/п</w:t>
            </w:r>
          </w:p>
        </w:tc>
        <w:tc>
          <w:tcPr>
            <w:tcW w:w="2835"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Наименование товара</w:t>
            </w:r>
          </w:p>
        </w:tc>
        <w:tc>
          <w:tcPr>
            <w:tcW w:w="701"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Кол-во</w:t>
            </w:r>
          </w:p>
        </w:tc>
        <w:tc>
          <w:tcPr>
            <w:tcW w:w="73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Ед. изм.</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Цена за единицу, руб. с НДС</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Общая стоимость, руб. с НДС</w:t>
            </w:r>
          </w:p>
        </w:tc>
        <w:tc>
          <w:tcPr>
            <w:tcW w:w="1014"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ОКПД 2</w:t>
            </w:r>
          </w:p>
        </w:tc>
        <w:tc>
          <w:tcPr>
            <w:tcW w:w="1143"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Страна происхождения товара</w:t>
            </w:r>
          </w:p>
        </w:tc>
      </w:tr>
      <w:tr w:rsidR="00E931AC" w:rsidRPr="00B44068" w:rsidTr="00E931AC">
        <w:tc>
          <w:tcPr>
            <w:tcW w:w="9539" w:type="dxa"/>
            <w:gridSpan w:val="8"/>
            <w:vAlign w:val="center"/>
          </w:tcPr>
          <w:p w:rsidR="002845F7" w:rsidRPr="00FB47E1" w:rsidRDefault="002845F7" w:rsidP="002845F7">
            <w:pPr>
              <w:spacing w:after="0" w:line="240" w:lineRule="auto"/>
              <w:rPr>
                <w:rFonts w:ascii="Tahoma" w:hAnsi="Tahoma" w:cs="Tahoma"/>
                <w:bCs/>
                <w:sz w:val="20"/>
                <w:szCs w:val="20"/>
              </w:rPr>
            </w:pPr>
            <w:r w:rsidRPr="00FB47E1">
              <w:rPr>
                <w:rFonts w:ascii="Tahoma" w:hAnsi="Tahoma" w:cs="Tahoma"/>
                <w:b/>
                <w:bCs/>
                <w:sz w:val="20"/>
                <w:szCs w:val="20"/>
              </w:rPr>
              <w:t xml:space="preserve">Грузополучатель: </w:t>
            </w:r>
            <w:r w:rsidRPr="00FB47E1">
              <w:rPr>
                <w:rFonts w:ascii="Tahoma" w:hAnsi="Tahoma" w:cs="Tahoma"/>
                <w:bCs/>
                <w:sz w:val="20"/>
                <w:szCs w:val="20"/>
              </w:rPr>
              <w:t xml:space="preserve">АО «Коми энергосбытовая компания» </w:t>
            </w:r>
          </w:p>
          <w:p w:rsidR="00E931AC" w:rsidRPr="00B44068" w:rsidRDefault="002845F7" w:rsidP="002845F7">
            <w:pPr>
              <w:spacing w:after="0" w:line="240" w:lineRule="auto"/>
              <w:jc w:val="both"/>
              <w:rPr>
                <w:rFonts w:ascii="Tahoma" w:hAnsi="Tahoma" w:cs="Tahoma"/>
                <w:b/>
                <w:bCs/>
                <w:sz w:val="20"/>
                <w:szCs w:val="20"/>
              </w:rPr>
            </w:pPr>
            <w:r w:rsidRPr="00FB47E1">
              <w:rPr>
                <w:rFonts w:ascii="Tahoma" w:hAnsi="Tahoma" w:cs="Tahoma"/>
                <w:b/>
                <w:bCs/>
                <w:sz w:val="20"/>
                <w:szCs w:val="20"/>
              </w:rPr>
              <w:t>Адрес поставки: 167000</w:t>
            </w:r>
            <w:r w:rsidRPr="00FB47E1">
              <w:rPr>
                <w:rFonts w:ascii="Tahoma" w:hAnsi="Tahoma" w:cs="Tahoma"/>
                <w:bCs/>
                <w:sz w:val="20"/>
                <w:szCs w:val="20"/>
              </w:rPr>
              <w:t>, Республика Коми, г. Сыктывкар, ул. Первомайская , д.70 корп. «Б»</w:t>
            </w:r>
          </w:p>
        </w:tc>
      </w:tr>
      <w:tr w:rsidR="00FD69E6" w:rsidRPr="00B44068" w:rsidTr="00E60670">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vAlign w:val="center"/>
          </w:tcPr>
          <w:p w:rsidR="00FD69E6" w:rsidRPr="00B96D19" w:rsidRDefault="002845F7" w:rsidP="00B44068">
            <w:pPr>
              <w:tabs>
                <w:tab w:val="left" w:pos="567"/>
              </w:tabs>
              <w:spacing w:after="0" w:line="240" w:lineRule="auto"/>
              <w:rPr>
                <w:rFonts w:ascii="Tahoma" w:hAnsi="Tahoma" w:cs="Tahoma"/>
                <w:sz w:val="20"/>
                <w:szCs w:val="20"/>
              </w:rPr>
            </w:pPr>
            <w:r w:rsidRPr="00B96D19">
              <w:rPr>
                <w:rFonts w:ascii="Tahoma" w:hAnsi="Tahoma" w:cs="Tahoma"/>
                <w:sz w:val="20"/>
                <w:szCs w:val="20"/>
              </w:rPr>
              <w:t>Система хранения данных</w:t>
            </w:r>
          </w:p>
        </w:tc>
        <w:tc>
          <w:tcPr>
            <w:tcW w:w="701" w:type="dxa"/>
            <w:noWrap/>
            <w:vAlign w:val="center"/>
          </w:tcPr>
          <w:p w:rsidR="00FD69E6" w:rsidRPr="00B44068" w:rsidRDefault="00FD69E6" w:rsidP="00B44068">
            <w:pPr>
              <w:spacing w:after="0" w:line="240" w:lineRule="auto"/>
              <w:jc w:val="center"/>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spacing w:after="0" w:line="240" w:lineRule="auto"/>
              <w:jc w:val="center"/>
              <w:rPr>
                <w:rFonts w:ascii="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bl>
    <w:p w:rsidR="00122B87" w:rsidRPr="00B44068" w:rsidRDefault="001C57AB" w:rsidP="00B44068">
      <w:pPr>
        <w:tabs>
          <w:tab w:val="left" w:pos="360"/>
        </w:tabs>
        <w:spacing w:after="0" w:line="240" w:lineRule="auto"/>
        <w:ind w:right="480"/>
        <w:contextualSpacing/>
        <w:jc w:val="both"/>
        <w:rPr>
          <w:rFonts w:ascii="Tahoma" w:hAnsi="Tahoma" w:cs="Tahoma"/>
          <w:b/>
          <w:bCs/>
          <w:color w:val="000000"/>
          <w:sz w:val="20"/>
          <w:szCs w:val="20"/>
        </w:rPr>
      </w:pPr>
      <w:r w:rsidRPr="00B44068">
        <w:rPr>
          <w:rFonts w:ascii="Tahoma" w:hAnsi="Tahoma" w:cs="Tahoma"/>
          <w:b/>
          <w:bCs/>
          <w:color w:val="000000"/>
          <w:sz w:val="20"/>
          <w:szCs w:val="20"/>
        </w:rPr>
        <w:t>Технические характеристики:</w:t>
      </w:r>
    </w:p>
    <w:p w:rsidR="001C57AB" w:rsidRPr="00B44068" w:rsidRDefault="001C57AB" w:rsidP="00B44068">
      <w:pPr>
        <w:tabs>
          <w:tab w:val="left" w:pos="360"/>
        </w:tabs>
        <w:spacing w:after="0" w:line="240" w:lineRule="auto"/>
        <w:ind w:right="480"/>
        <w:contextualSpacing/>
        <w:jc w:val="both"/>
        <w:rPr>
          <w:rFonts w:ascii="Tahoma" w:hAnsi="Tahoma" w:cs="Tahoma"/>
          <w:bCs/>
          <w:color w:val="000000"/>
          <w:sz w:val="20"/>
          <w:szCs w:val="20"/>
        </w:rPr>
      </w:pPr>
    </w:p>
    <w:p w:rsidR="004524AD" w:rsidRPr="004524AD" w:rsidRDefault="004524AD" w:rsidP="004524AD">
      <w:pPr>
        <w:pStyle w:val="a6"/>
        <w:widowControl w:val="0"/>
        <w:tabs>
          <w:tab w:val="left" w:pos="567"/>
        </w:tabs>
        <w:autoSpaceDE w:val="0"/>
        <w:autoSpaceDN w:val="0"/>
        <w:adjustRightInd w:val="0"/>
        <w:spacing w:line="240" w:lineRule="auto"/>
        <w:ind w:left="0" w:firstLine="0"/>
        <w:rPr>
          <w:rFonts w:ascii="Tahoma" w:hAnsi="Tahoma" w:cs="Tahoma"/>
          <w:sz w:val="20"/>
        </w:rPr>
      </w:pPr>
      <w:bookmarkStart w:id="7" w:name="_GoBack"/>
      <w:bookmarkEnd w:id="7"/>
      <w:r w:rsidRPr="004524AD">
        <w:rPr>
          <w:rFonts w:ascii="Tahoma" w:hAnsi="Tahoma" w:cs="Tahoma"/>
          <w:b/>
          <w:sz w:val="20"/>
        </w:rPr>
        <w:t xml:space="preserve">Система хранения данных </w:t>
      </w:r>
    </w:p>
    <w:p w:rsidR="004524AD" w:rsidRPr="004524AD" w:rsidRDefault="004524AD" w:rsidP="004524AD">
      <w:pPr>
        <w:pStyle w:val="a6"/>
        <w:tabs>
          <w:tab w:val="left" w:pos="567"/>
        </w:tabs>
        <w:ind w:left="0"/>
        <w:rPr>
          <w:rFonts w:ascii="Tahoma" w:hAnsi="Tahoma" w:cs="Tahoma"/>
          <w:sz w:val="20"/>
        </w:rPr>
      </w:pPr>
      <w:r w:rsidRPr="004524AD">
        <w:rPr>
          <w:rFonts w:ascii="Tahoma" w:hAnsi="Tahoma" w:cs="Tahoma"/>
          <w:sz w:val="20"/>
        </w:rPr>
        <w:t>Система хранения данных (СХД) должна обладать следующими характеристиками:</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Полезная дисковая емкость без учета </w:t>
      </w:r>
      <w:proofErr w:type="spellStart"/>
      <w:r w:rsidRPr="004524AD">
        <w:rPr>
          <w:rFonts w:ascii="Tahoma" w:hAnsi="Tahoma" w:cs="Tahoma"/>
          <w:sz w:val="20"/>
        </w:rPr>
        <w:t>дедупликации</w:t>
      </w:r>
      <w:proofErr w:type="spellEnd"/>
      <w:r w:rsidRPr="004524AD">
        <w:rPr>
          <w:rFonts w:ascii="Tahoma" w:hAnsi="Tahoma" w:cs="Tahoma"/>
          <w:sz w:val="20"/>
        </w:rPr>
        <w:t xml:space="preserve"> и компрессии (доступная для размещения виртуальных машин): не менее 150 Тб;</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Тип применяемых дисков: </w:t>
      </w:r>
      <w:r w:rsidRPr="004524AD">
        <w:rPr>
          <w:rFonts w:ascii="Tahoma" w:hAnsi="Tahoma" w:cs="Tahoma"/>
          <w:sz w:val="20"/>
          <w:lang w:val="en-US"/>
        </w:rPr>
        <w:t>SSD</w:t>
      </w:r>
      <w:r w:rsidRPr="004524AD">
        <w:rPr>
          <w:rFonts w:ascii="Tahoma" w:hAnsi="Tahoma" w:cs="Tahoma"/>
          <w:sz w:val="20"/>
        </w:rPr>
        <w:t>;</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Количество IOPS (r\w:70\30 </w:t>
      </w:r>
      <w:proofErr w:type="spellStart"/>
      <w:r w:rsidRPr="004524AD">
        <w:rPr>
          <w:rFonts w:ascii="Tahoma" w:hAnsi="Tahoma" w:cs="Tahoma"/>
          <w:sz w:val="20"/>
        </w:rPr>
        <w:t>block</w:t>
      </w:r>
      <w:proofErr w:type="spellEnd"/>
      <w:r w:rsidRPr="004524AD">
        <w:rPr>
          <w:rFonts w:ascii="Tahoma" w:hAnsi="Tahoma" w:cs="Tahoma"/>
          <w:sz w:val="20"/>
        </w:rPr>
        <w:t>: 8k): не менее 320 000;</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Задержка (r\w:70\30 </w:t>
      </w:r>
      <w:proofErr w:type="spellStart"/>
      <w:r w:rsidRPr="004524AD">
        <w:rPr>
          <w:rFonts w:ascii="Tahoma" w:hAnsi="Tahoma" w:cs="Tahoma"/>
          <w:sz w:val="20"/>
        </w:rPr>
        <w:t>block</w:t>
      </w:r>
      <w:proofErr w:type="spellEnd"/>
      <w:r w:rsidRPr="004524AD">
        <w:rPr>
          <w:rFonts w:ascii="Tahoma" w:hAnsi="Tahoma" w:cs="Tahoma"/>
          <w:sz w:val="20"/>
        </w:rPr>
        <w:t xml:space="preserve">: 8k): менее 1 </w:t>
      </w:r>
      <w:proofErr w:type="spellStart"/>
      <w:r w:rsidRPr="004524AD">
        <w:rPr>
          <w:rFonts w:ascii="Tahoma" w:hAnsi="Tahoma" w:cs="Tahoma"/>
          <w:sz w:val="20"/>
        </w:rPr>
        <w:t>мс</w:t>
      </w:r>
      <w:proofErr w:type="spellEnd"/>
      <w:r w:rsidRPr="004524AD">
        <w:rPr>
          <w:rFonts w:ascii="Tahoma" w:hAnsi="Tahoma" w:cs="Tahoma"/>
          <w:sz w:val="20"/>
        </w:rPr>
        <w:t>;</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Количество контроллерных модулей: не менее 2 шт.;</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иметь архитектуру, обеспечивающую резервирование всех ключевых электронных компонентов и соединений;</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представлять из себя целостное решение от одного производителя, включающее в себя программную и аппаратную составляющие</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СХД должна оснащаться не менее, чем двумя резервируемыми контроллерными модулями, работающими в режиме </w:t>
      </w:r>
      <w:proofErr w:type="spellStart"/>
      <w:r w:rsidRPr="004524AD">
        <w:rPr>
          <w:rFonts w:ascii="Tahoma" w:hAnsi="Tahoma" w:cs="Tahoma"/>
          <w:sz w:val="20"/>
        </w:rPr>
        <w:t>Symmetric</w:t>
      </w:r>
      <w:proofErr w:type="spellEnd"/>
      <w:r w:rsidRPr="004524AD">
        <w:rPr>
          <w:rFonts w:ascii="Tahoma" w:hAnsi="Tahoma" w:cs="Tahoma"/>
          <w:sz w:val="20"/>
        </w:rPr>
        <w:t xml:space="preserve"> </w:t>
      </w:r>
      <w:proofErr w:type="spellStart"/>
      <w:r w:rsidRPr="004524AD">
        <w:rPr>
          <w:rFonts w:ascii="Tahoma" w:hAnsi="Tahoma" w:cs="Tahoma"/>
          <w:sz w:val="20"/>
        </w:rPr>
        <w:t>Active-Active</w:t>
      </w:r>
      <w:proofErr w:type="spellEnd"/>
      <w:r w:rsidRPr="004524AD">
        <w:rPr>
          <w:rFonts w:ascii="Tahoma" w:hAnsi="Tahoma" w:cs="Tahoma"/>
          <w:sz w:val="20"/>
        </w:rPr>
        <w:t>. Не допускается режим ALUA, то есть все пути доступа от логических томов до хостов должны быть равнозначными и активными. При отказе/замене контроллера балансировка пулов/LUN на контроллерах должна выполняться в автоматическом режиме;</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На СХД должна отсутствовать привязка логических томов и пулов к определенному контроллеру;</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Контроллерное шасси СХД должно содержать в себе оба контроллерных модуля, быть выполнено в форм-факторе для установки в стандартный 19 дюймовый серверный шкаф и иметь монтажную высоту не более 3U;</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Внутренняя коммутация в контроллерах СХД должна быть построена на базе шины </w:t>
      </w:r>
      <w:proofErr w:type="spellStart"/>
      <w:r w:rsidRPr="004524AD">
        <w:rPr>
          <w:rFonts w:ascii="Tahoma" w:hAnsi="Tahoma" w:cs="Tahoma"/>
          <w:sz w:val="20"/>
        </w:rPr>
        <w:t>PCIe</w:t>
      </w:r>
      <w:proofErr w:type="spellEnd"/>
      <w:r w:rsidRPr="004524AD">
        <w:rPr>
          <w:rFonts w:ascii="Tahoma" w:hAnsi="Tahoma" w:cs="Tahoma"/>
          <w:sz w:val="20"/>
        </w:rPr>
        <w:t xml:space="preserve"> 3.0 или выше;</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Контроллерное шасси СХД должно иметь не менее двух резервируемых блоков питания с поддержкой «горячей» замены;</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Все контроллеры должны иметь равнозначный доступ ко всем накопителям системы</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Поддерживаемые протоколы: Контроллеры должны обеспечивать доступ к хранимым в системе данным через протоколы FC, </w:t>
      </w:r>
      <w:proofErr w:type="spellStart"/>
      <w:r w:rsidRPr="004524AD">
        <w:rPr>
          <w:rFonts w:ascii="Tahoma" w:hAnsi="Tahoma" w:cs="Tahoma"/>
          <w:sz w:val="20"/>
        </w:rPr>
        <w:t>iSCSI</w:t>
      </w:r>
      <w:proofErr w:type="spellEnd"/>
      <w:r w:rsidRPr="004524AD">
        <w:rPr>
          <w:rFonts w:ascii="Tahoma" w:hAnsi="Tahoma" w:cs="Tahoma"/>
          <w:sz w:val="20"/>
        </w:rPr>
        <w:t>, CIFS (SMB), NFS;</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Должна быть возможность подключения дисковых полок с дублированием канала соединения;</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Дисковые полки должны быть выполнены в форм-факторе для установки в стандартный 19 дюймовый серверный шкаф и иметь монтажную высоту не более 4U;</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Дисковые полки должны поддерживать установку не менее двух резервируемых блоков питания с поддержкой горячей замены;</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Дисковые полки должны обеспечивать возможность горячей замены устанавливаемых накопителей всех поддерживаемых типов;</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Дисковая полка должна поддерживать накопители максимальным объемом не менее 15.4Тб;</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Коммутация дисковых полок должна быть построена на базе шины </w:t>
      </w:r>
      <w:r w:rsidRPr="004524AD">
        <w:rPr>
          <w:rFonts w:ascii="Tahoma" w:hAnsi="Tahoma" w:cs="Tahoma"/>
          <w:sz w:val="20"/>
          <w:lang w:val="en-US"/>
        </w:rPr>
        <w:t>SAS</w:t>
      </w:r>
      <w:r w:rsidRPr="004524AD">
        <w:rPr>
          <w:rFonts w:ascii="Tahoma" w:hAnsi="Tahoma" w:cs="Tahoma"/>
          <w:sz w:val="20"/>
        </w:rPr>
        <w:t xml:space="preserve"> версии 3.0 или выше;</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Система хранения должна иметь возможность масштабироваться, с минимально начальной конфигурации, с шагом по 1 физическому диску и последующей автоматической балансировкой логического добавленного пространства;</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СХД должна обеспечивать доступ к данным посредством протоколов FC, </w:t>
      </w:r>
      <w:proofErr w:type="spellStart"/>
      <w:r w:rsidRPr="004524AD">
        <w:rPr>
          <w:rFonts w:ascii="Tahoma" w:hAnsi="Tahoma" w:cs="Tahoma"/>
          <w:sz w:val="20"/>
        </w:rPr>
        <w:t>iSCSI</w:t>
      </w:r>
      <w:proofErr w:type="spellEnd"/>
      <w:r w:rsidRPr="004524AD">
        <w:rPr>
          <w:rFonts w:ascii="Tahoma" w:hAnsi="Tahoma" w:cs="Tahoma"/>
          <w:sz w:val="20"/>
        </w:rPr>
        <w:t>, NFS, CIFS;</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Для уменьшения времени восстановления после выхода из строя диска, система должна иметь распределенное резервирование пространства в рамках пула хранения. Использование выделенных </w:t>
      </w:r>
      <w:r w:rsidRPr="004524AD">
        <w:rPr>
          <w:rFonts w:ascii="Tahoma" w:hAnsi="Tahoma" w:cs="Tahoma"/>
          <w:sz w:val="20"/>
        </w:rPr>
        <w:lastRenderedPageBreak/>
        <w:t>резервных дисков не допускается.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СХД должна иметь не менее 8 портов </w:t>
      </w:r>
      <w:r w:rsidRPr="004524AD">
        <w:rPr>
          <w:rFonts w:ascii="Tahoma" w:hAnsi="Tahoma" w:cs="Tahoma"/>
          <w:sz w:val="20"/>
          <w:lang w:val="en-US"/>
        </w:rPr>
        <w:t>FC</w:t>
      </w:r>
      <w:r w:rsidRPr="004524AD">
        <w:rPr>
          <w:rFonts w:ascii="Tahoma" w:hAnsi="Tahoma" w:cs="Tahoma"/>
          <w:sz w:val="20"/>
        </w:rPr>
        <w:t xml:space="preserve"> 16 Гбит/с;</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СХД должна иметь не менее 8 портов </w:t>
      </w:r>
      <w:proofErr w:type="spellStart"/>
      <w:r w:rsidRPr="004524AD">
        <w:rPr>
          <w:rFonts w:ascii="Tahoma" w:hAnsi="Tahoma" w:cs="Tahoma"/>
          <w:sz w:val="20"/>
        </w:rPr>
        <w:t>Ethernet</w:t>
      </w:r>
      <w:proofErr w:type="spellEnd"/>
      <w:r w:rsidRPr="004524AD">
        <w:rPr>
          <w:rFonts w:ascii="Tahoma" w:hAnsi="Tahoma" w:cs="Tahoma"/>
          <w:sz w:val="20"/>
        </w:rPr>
        <w:t xml:space="preserve"> с максимальной скоростью передачи данных каждого порта не менее 25 Гбит/с;</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Кэш-память на чтение и запись должна быть построена на базе оперативной памяти с технологией не хуже DDR4; не допускается использование SSD или другой отличной от RAM памяти для кэширования;</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поддерживать базовую функциональность по созданию, удалению, расширению логических томов;</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иметь возможность мониторинга по протоколу SNMP;</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иметь модуль расширенной самодиагностики, позволяющий выполнять мониторинг работоспособности компонентов;</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хранить данные мониторинга системы глубиной до 1 года без установки дополнительного ПО;</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поставляться с набором лицензий без ограничения по емкости/количеству дисков и без ограничения срока;</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СХД должна поддерживать синхронную репликацию на другую аналогичную систему;</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Репликация должна выполняться через выделенные на контроллерах порты, которые не задействованы под доступ к данным;</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Репликация должна поддерживать двунаправленную репликацию данных между системами по протоколам </w:t>
      </w:r>
      <w:proofErr w:type="spellStart"/>
      <w:r w:rsidRPr="004524AD">
        <w:rPr>
          <w:rFonts w:ascii="Tahoma" w:hAnsi="Tahoma" w:cs="Tahoma"/>
          <w:sz w:val="20"/>
        </w:rPr>
        <w:t>iSCSI</w:t>
      </w:r>
      <w:proofErr w:type="spellEnd"/>
      <w:r w:rsidRPr="004524AD">
        <w:rPr>
          <w:rFonts w:ascii="Tahoma" w:hAnsi="Tahoma" w:cs="Tahoma"/>
          <w:sz w:val="20"/>
        </w:rPr>
        <w:t xml:space="preserve"> или FC;</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 xml:space="preserve">Должна поддерживаться возможность репликации логического диска по протоколу FC, а его презентация по протоколу </w:t>
      </w:r>
      <w:proofErr w:type="spellStart"/>
      <w:r w:rsidRPr="004524AD">
        <w:rPr>
          <w:rFonts w:ascii="Tahoma" w:hAnsi="Tahoma" w:cs="Tahoma"/>
          <w:sz w:val="20"/>
        </w:rPr>
        <w:t>iSCSI</w:t>
      </w:r>
      <w:proofErr w:type="spellEnd"/>
      <w:r w:rsidRPr="004524AD">
        <w:rPr>
          <w:rFonts w:ascii="Tahoma" w:hAnsi="Tahoma" w:cs="Tahoma"/>
          <w:sz w:val="20"/>
        </w:rPr>
        <w:t>;</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Система хранения данных должна поставляться с гарантией производителя сроком не менее, чем на 5 (пять) лет, включающей поддержку оборудования и встроенного ПО. Прием обращений 24x7. Время реакции на обращение не более 4 часов.</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Сведения о СХД должны содержатся в едином реестре российской радиоэлектронной продукции</w:t>
      </w:r>
    </w:p>
    <w:p w:rsidR="004524AD" w:rsidRPr="004524AD" w:rsidRDefault="004524AD" w:rsidP="004524AD">
      <w:pPr>
        <w:pStyle w:val="a6"/>
        <w:numPr>
          <w:ilvl w:val="0"/>
          <w:numId w:val="65"/>
        </w:numPr>
        <w:tabs>
          <w:tab w:val="left" w:pos="567"/>
        </w:tabs>
        <w:spacing w:line="240" w:lineRule="auto"/>
        <w:ind w:left="0" w:firstLine="0"/>
        <w:rPr>
          <w:rFonts w:ascii="Tahoma" w:hAnsi="Tahoma" w:cs="Tahoma"/>
          <w:sz w:val="20"/>
        </w:rPr>
      </w:pPr>
      <w:r w:rsidRPr="004524AD">
        <w:rPr>
          <w:rFonts w:ascii="Tahoma" w:hAnsi="Tahoma" w:cs="Tahoma"/>
          <w:sz w:val="20"/>
        </w:rPr>
        <w:t>Встроенное программное обеспечение для данной СХД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3E0188" w:rsidRPr="004524AD" w:rsidRDefault="003E0188" w:rsidP="004524AD">
      <w:pPr>
        <w:pStyle w:val="a6"/>
        <w:tabs>
          <w:tab w:val="left" w:pos="567"/>
        </w:tabs>
        <w:spacing w:line="240" w:lineRule="auto"/>
        <w:ind w:left="0" w:firstLine="0"/>
        <w:rPr>
          <w:rFonts w:ascii="Tahoma" w:hAnsi="Tahoma" w:cs="Tahoma"/>
          <w:sz w:val="20"/>
        </w:rPr>
      </w:pPr>
    </w:p>
    <w:p w:rsidR="003E0188" w:rsidRPr="006A028F" w:rsidRDefault="003E0188" w:rsidP="003E0188">
      <w:pPr>
        <w:pStyle w:val="a6"/>
        <w:tabs>
          <w:tab w:val="left" w:pos="567"/>
        </w:tabs>
        <w:spacing w:line="240" w:lineRule="auto"/>
        <w:ind w:left="0" w:firstLine="0"/>
        <w:rPr>
          <w:rFonts w:ascii="Tahoma" w:hAnsi="Tahoma" w:cs="Tahoma"/>
          <w:sz w:val="20"/>
        </w:rPr>
      </w:pP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3805D3">
        <w:rPr>
          <w:rFonts w:ascii="Tahoma" w:eastAsia="Times New Roman" w:hAnsi="Tahoma" w:cs="Tahoma"/>
          <w:sz w:val="20"/>
          <w:szCs w:val="20"/>
        </w:rPr>
        <w:t>даты подписания</w:t>
      </w:r>
      <w:r w:rsidRPr="00B44068">
        <w:rPr>
          <w:rFonts w:ascii="Tahoma" w:eastAsia="Times New Roman" w:hAnsi="Tahoma" w:cs="Tahoma"/>
          <w:sz w:val="20"/>
          <w:szCs w:val="20"/>
        </w:rPr>
        <w:t xml:space="preserve"> 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3805D3">
        <w:rPr>
          <w:rFonts w:ascii="Tahoma" w:eastAsia="Times New Roman" w:hAnsi="Tahoma" w:cs="Tahoma"/>
          <w:bCs/>
          <w:sz w:val="20"/>
          <w:szCs w:val="20"/>
        </w:rPr>
        <w:t>не позднее</w:t>
      </w:r>
      <w:r w:rsidR="00E1661F">
        <w:rPr>
          <w:rFonts w:ascii="Tahoma" w:eastAsia="Times New Roman" w:hAnsi="Tahoma" w:cs="Tahoma"/>
          <w:bCs/>
          <w:sz w:val="20"/>
          <w:szCs w:val="20"/>
        </w:rPr>
        <w:t xml:space="preserve"> </w:t>
      </w:r>
      <w:r w:rsidR="00BB1B47">
        <w:rPr>
          <w:rFonts w:ascii="Tahoma" w:eastAsia="Times New Roman" w:hAnsi="Tahoma" w:cs="Tahoma"/>
          <w:bCs/>
          <w:sz w:val="20"/>
          <w:szCs w:val="20"/>
        </w:rPr>
        <w:t>56</w:t>
      </w:r>
      <w:r w:rsidR="00F478FB">
        <w:rPr>
          <w:rFonts w:ascii="Tahoma" w:eastAsia="Times New Roman" w:hAnsi="Tahoma" w:cs="Tahoma"/>
          <w:bCs/>
          <w:sz w:val="20"/>
          <w:szCs w:val="20"/>
        </w:rPr>
        <w:t xml:space="preserve"> дней с даты подписания Договора, но не позднее </w:t>
      </w:r>
      <w:r w:rsidR="004524AD" w:rsidRPr="004524AD">
        <w:rPr>
          <w:rFonts w:ascii="Tahoma" w:eastAsia="Times New Roman" w:hAnsi="Tahoma" w:cs="Tahoma"/>
          <w:bCs/>
          <w:sz w:val="20"/>
          <w:szCs w:val="20"/>
        </w:rPr>
        <w:t>26</w:t>
      </w:r>
      <w:r w:rsidR="00E1661F">
        <w:rPr>
          <w:rFonts w:ascii="Tahoma" w:eastAsia="Times New Roman" w:hAnsi="Tahoma" w:cs="Tahoma"/>
          <w:bCs/>
          <w:sz w:val="20"/>
          <w:szCs w:val="20"/>
        </w:rPr>
        <w:t>.</w:t>
      </w:r>
      <w:r w:rsidR="00F478FB">
        <w:rPr>
          <w:rFonts w:ascii="Tahoma" w:eastAsia="Times New Roman" w:hAnsi="Tahoma" w:cs="Tahoma"/>
          <w:bCs/>
          <w:sz w:val="20"/>
          <w:szCs w:val="20"/>
        </w:rPr>
        <w:t>12</w:t>
      </w:r>
      <w:r w:rsidR="00E1661F">
        <w:rPr>
          <w:rFonts w:ascii="Tahoma" w:eastAsia="Times New Roman" w:hAnsi="Tahoma" w:cs="Tahoma"/>
          <w:bCs/>
          <w:sz w:val="20"/>
          <w:szCs w:val="20"/>
        </w:rPr>
        <w:t>.2025</w:t>
      </w:r>
      <w:r w:rsidRPr="00B44068">
        <w:rPr>
          <w:rFonts w:ascii="Tahoma" w:eastAsia="Times New Roman" w:hAnsi="Tahoma" w:cs="Tahoma"/>
          <w:bCs/>
          <w:sz w:val="20"/>
          <w:szCs w:val="20"/>
        </w:rPr>
        <w:t xml:space="preserve">г.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B44068"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w:t>
            </w:r>
            <w:r w:rsidR="002845F7">
              <w:rPr>
                <w:rFonts w:ascii="Tahoma" w:eastAsia="Arial Unicode MS" w:hAnsi="Tahoma" w:cs="Tahoma"/>
                <w:bCs/>
                <w:sz w:val="20"/>
                <w:szCs w:val="20"/>
                <w:lang w:eastAsia="ru-RU"/>
              </w:rPr>
              <w:t>Борисова Е.Н.</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E60670" w:rsidRDefault="00E60670" w:rsidP="00B44068">
      <w:pPr>
        <w:spacing w:after="0" w:line="240" w:lineRule="auto"/>
        <w:jc w:val="right"/>
        <w:rPr>
          <w:rFonts w:ascii="Tahoma" w:eastAsia="Times New Roman" w:hAnsi="Tahoma" w:cs="Tahoma"/>
          <w:sz w:val="20"/>
          <w:szCs w:val="20"/>
          <w:lang w:eastAsia="ru-RU"/>
        </w:rPr>
      </w:pPr>
    </w:p>
    <w:p w:rsidR="00E60670" w:rsidRDefault="00E60670">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w:t>
      </w:r>
      <w:proofErr w:type="gramStart"/>
      <w:r w:rsidRPr="00B44068">
        <w:rPr>
          <w:rFonts w:ascii="Tahoma" w:eastAsia="Times New Roman" w:hAnsi="Tahoma" w:cs="Tahoma"/>
          <w:sz w:val="20"/>
          <w:szCs w:val="20"/>
          <w:lang w:eastAsia="ru-RU"/>
        </w:rPr>
        <w:t>_»_</w:t>
      </w:r>
      <w:proofErr w:type="gramEnd"/>
      <w:r w:rsidRPr="00B44068">
        <w:rPr>
          <w:rFonts w:ascii="Tahoma" w:eastAsia="Times New Roman" w:hAnsi="Tahoma" w:cs="Tahoma"/>
          <w:sz w:val="20"/>
          <w:szCs w:val="20"/>
          <w:lang w:eastAsia="ru-RU"/>
        </w:rPr>
        <w:t>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w:t>
            </w:r>
            <w:r w:rsidR="002845F7">
              <w:rPr>
                <w:rFonts w:ascii="Tahoma" w:eastAsia="Arial Unicode MS" w:hAnsi="Tahoma" w:cs="Tahoma"/>
                <w:bCs/>
                <w:sz w:val="20"/>
                <w:szCs w:val="20"/>
                <w:lang w:eastAsia="ru-RU"/>
              </w:rPr>
              <w:t>Борисова</w:t>
            </w:r>
            <w:r w:rsidRPr="00B44068">
              <w:rPr>
                <w:rFonts w:ascii="Tahoma" w:eastAsia="Arial Unicode MS" w:hAnsi="Tahoma" w:cs="Tahoma"/>
                <w:bCs/>
                <w:sz w:val="20"/>
                <w:szCs w:val="20"/>
                <w:lang w:eastAsia="ru-RU"/>
              </w:rPr>
              <w:t xml:space="preserve"> </w:t>
            </w:r>
            <w:r w:rsidR="002845F7">
              <w:rPr>
                <w:rFonts w:ascii="Tahoma" w:eastAsia="Arial Unicode MS" w:hAnsi="Tahoma" w:cs="Tahoma"/>
                <w:bCs/>
                <w:sz w:val="20"/>
                <w:szCs w:val="20"/>
                <w:lang w:eastAsia="ru-RU"/>
              </w:rPr>
              <w:t>Е</w:t>
            </w:r>
            <w:r w:rsidRPr="00B44068">
              <w:rPr>
                <w:rFonts w:ascii="Tahoma" w:eastAsia="Arial Unicode MS" w:hAnsi="Tahoma" w:cs="Tahoma"/>
                <w:bCs/>
                <w:sz w:val="20"/>
                <w:szCs w:val="20"/>
                <w:lang w:eastAsia="ru-RU"/>
              </w:rPr>
              <w:t>.</w:t>
            </w:r>
            <w:r w:rsidR="002845F7">
              <w:rPr>
                <w:rFonts w:ascii="Tahoma" w:eastAsia="Arial Unicode MS" w:hAnsi="Tahoma" w:cs="Tahoma"/>
                <w:bCs/>
                <w:sz w:val="20"/>
                <w:szCs w:val="20"/>
                <w:lang w:eastAsia="ru-RU"/>
              </w:rPr>
              <w:t>Н</w:t>
            </w:r>
            <w:r w:rsidRPr="00B44068">
              <w:rPr>
                <w:rFonts w:ascii="Tahoma" w:eastAsia="Arial Unicode MS" w:hAnsi="Tahoma" w:cs="Tahoma"/>
                <w:bCs/>
                <w:sz w:val="20"/>
                <w:szCs w:val="20"/>
                <w:lang w:eastAsia="ru-RU"/>
              </w:rPr>
              <w:t>.</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М.П.   «_</w:t>
            </w:r>
            <w:proofErr w:type="gramStart"/>
            <w:r w:rsidRPr="00B44068">
              <w:rPr>
                <w:rFonts w:ascii="Tahoma" w:eastAsia="Arial Unicode MS" w:hAnsi="Tahoma" w:cs="Tahoma"/>
                <w:bCs/>
                <w:iCs/>
                <w:sz w:val="20"/>
                <w:szCs w:val="20"/>
                <w:lang w:eastAsia="ru-RU"/>
              </w:rPr>
              <w:t>_»_</w:t>
            </w:r>
            <w:proofErr w:type="gramEnd"/>
            <w:r w:rsidRPr="00B44068">
              <w:rPr>
                <w:rFonts w:ascii="Tahoma" w:eastAsia="Arial Unicode MS" w:hAnsi="Tahoma" w:cs="Tahoma"/>
                <w:bCs/>
                <w:iCs/>
                <w:sz w:val="20"/>
                <w:szCs w:val="20"/>
                <w:lang w:eastAsia="ru-RU"/>
              </w:rPr>
              <w:t xml:space="preserve">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99" w:rsidRDefault="00537E99" w:rsidP="00721598">
      <w:pPr>
        <w:spacing w:after="0" w:line="240" w:lineRule="auto"/>
      </w:pPr>
      <w:r>
        <w:separator/>
      </w:r>
    </w:p>
  </w:endnote>
  <w:endnote w:type="continuationSeparator" w:id="0">
    <w:p w:rsidR="00537E99" w:rsidRDefault="00537E9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633" w:rsidRDefault="00EE7633"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EE7633" w:rsidRDefault="00EE7633"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99" w:rsidRDefault="00537E99" w:rsidP="00721598">
      <w:pPr>
        <w:spacing w:after="0" w:line="240" w:lineRule="auto"/>
      </w:pPr>
      <w:r>
        <w:separator/>
      </w:r>
    </w:p>
  </w:footnote>
  <w:footnote w:type="continuationSeparator" w:id="0">
    <w:p w:rsidR="00537E99" w:rsidRDefault="00537E9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633" w:rsidRPr="0059037F" w:rsidRDefault="00EE7633"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6F69E9"/>
    <w:multiLevelType w:val="multilevel"/>
    <w:tmpl w:val="98A695A4"/>
    <w:lvl w:ilvl="0">
      <w:start w:val="3"/>
      <w:numFmt w:val="decimal"/>
      <w:lvlText w:val="%1."/>
      <w:lvlJc w:val="left"/>
      <w:pPr>
        <w:tabs>
          <w:tab w:val="num" w:pos="1844"/>
        </w:tabs>
        <w:ind w:left="0"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ind w:left="0" w:firstLine="0"/>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9"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0"/>
  </w:num>
  <w:num w:numId="2">
    <w:abstractNumId w:val="34"/>
  </w:num>
  <w:num w:numId="3">
    <w:abstractNumId w:val="22"/>
  </w:num>
  <w:num w:numId="4">
    <w:abstractNumId w:val="50"/>
  </w:num>
  <w:num w:numId="5">
    <w:abstractNumId w:val="62"/>
  </w:num>
  <w:num w:numId="6">
    <w:abstractNumId w:val="7"/>
  </w:num>
  <w:num w:numId="7">
    <w:abstractNumId w:val="36"/>
  </w:num>
  <w:num w:numId="8">
    <w:abstractNumId w:val="44"/>
  </w:num>
  <w:num w:numId="9">
    <w:abstractNumId w:val="10"/>
  </w:num>
  <w:num w:numId="10">
    <w:abstractNumId w:val="8"/>
  </w:num>
  <w:num w:numId="11">
    <w:abstractNumId w:val="39"/>
  </w:num>
  <w:num w:numId="12">
    <w:abstractNumId w:val="9"/>
  </w:num>
  <w:num w:numId="13">
    <w:abstractNumId w:val="14"/>
  </w:num>
  <w:num w:numId="14">
    <w:abstractNumId w:val="25"/>
  </w:num>
  <w:num w:numId="15">
    <w:abstractNumId w:val="27"/>
  </w:num>
  <w:num w:numId="16">
    <w:abstractNumId w:val="60"/>
  </w:num>
  <w:num w:numId="17">
    <w:abstractNumId w:val="23"/>
  </w:num>
  <w:num w:numId="18">
    <w:abstractNumId w:val="19"/>
  </w:num>
  <w:num w:numId="19">
    <w:abstractNumId w:val="33"/>
  </w:num>
  <w:num w:numId="20">
    <w:abstractNumId w:val="48"/>
  </w:num>
  <w:num w:numId="21">
    <w:abstractNumId w:val="26"/>
  </w:num>
  <w:num w:numId="22">
    <w:abstractNumId w:val="37"/>
  </w:num>
  <w:num w:numId="23">
    <w:abstractNumId w:val="28"/>
  </w:num>
  <w:num w:numId="24">
    <w:abstractNumId w:val="24"/>
  </w:num>
  <w:num w:numId="25">
    <w:abstractNumId w:val="12"/>
  </w:num>
  <w:num w:numId="26">
    <w:abstractNumId w:val="40"/>
  </w:num>
  <w:num w:numId="27">
    <w:abstractNumId w:val="13"/>
  </w:num>
  <w:num w:numId="28">
    <w:abstractNumId w:val="15"/>
  </w:num>
  <w:num w:numId="29">
    <w:abstractNumId w:val="59"/>
  </w:num>
  <w:num w:numId="30">
    <w:abstractNumId w:val="57"/>
  </w:num>
  <w:num w:numId="31">
    <w:abstractNumId w:val="20"/>
  </w:num>
  <w:num w:numId="32">
    <w:abstractNumId w:val="55"/>
  </w:num>
  <w:num w:numId="33">
    <w:abstractNumId w:val="56"/>
  </w:num>
  <w:num w:numId="34">
    <w:abstractNumId w:val="64"/>
  </w:num>
  <w:num w:numId="35">
    <w:abstractNumId w:val="2"/>
  </w:num>
  <w:num w:numId="36">
    <w:abstractNumId w:val="31"/>
  </w:num>
  <w:num w:numId="37">
    <w:abstractNumId w:val="52"/>
  </w:num>
  <w:num w:numId="38">
    <w:abstractNumId w:val="5"/>
  </w:num>
  <w:num w:numId="39">
    <w:abstractNumId w:val="0"/>
  </w:num>
  <w:num w:numId="40">
    <w:abstractNumId w:val="6"/>
  </w:num>
  <w:num w:numId="41">
    <w:abstractNumId w:val="4"/>
  </w:num>
  <w:num w:numId="42">
    <w:abstractNumId w:val="51"/>
  </w:num>
  <w:num w:numId="43">
    <w:abstractNumId w:val="35"/>
  </w:num>
  <w:num w:numId="44">
    <w:abstractNumId w:val="46"/>
  </w:num>
  <w:num w:numId="45">
    <w:abstractNumId w:val="21"/>
  </w:num>
  <w:num w:numId="46">
    <w:abstractNumId w:val="45"/>
  </w:num>
  <w:num w:numId="47">
    <w:abstractNumId w:val="3"/>
  </w:num>
  <w:num w:numId="48">
    <w:abstractNumId w:val="43"/>
  </w:num>
  <w:num w:numId="49">
    <w:abstractNumId w:val="63"/>
  </w:num>
  <w:num w:numId="50">
    <w:abstractNumId w:val="41"/>
  </w:num>
  <w:num w:numId="51">
    <w:abstractNumId w:val="38"/>
  </w:num>
  <w:num w:numId="52">
    <w:abstractNumId w:val="53"/>
  </w:num>
  <w:num w:numId="53">
    <w:abstractNumId w:val="47"/>
  </w:num>
  <w:num w:numId="54">
    <w:abstractNumId w:val="58"/>
  </w:num>
  <w:num w:numId="55">
    <w:abstractNumId w:val="32"/>
  </w:num>
  <w:num w:numId="56">
    <w:abstractNumId w:val="17"/>
  </w:num>
  <w:num w:numId="57">
    <w:abstractNumId w:val="16"/>
  </w:num>
  <w:num w:numId="58">
    <w:abstractNumId w:val="49"/>
  </w:num>
  <w:num w:numId="59">
    <w:abstractNumId w:val="42"/>
  </w:num>
  <w:num w:numId="60">
    <w:abstractNumId w:val="61"/>
  </w:num>
  <w:num w:numId="61">
    <w:abstractNumId w:val="11"/>
  </w:num>
  <w:num w:numId="62">
    <w:abstractNumId w:val="65"/>
  </w:num>
  <w:num w:numId="63">
    <w:abstractNumId w:val="29"/>
  </w:num>
  <w:num w:numId="64">
    <w:abstractNumId w:val="54"/>
  </w:num>
  <w:num w:numId="65">
    <w:abstractNumId w:val="1"/>
  </w:num>
  <w:num w:numId="66">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667FD"/>
    <w:rsid w:val="00080591"/>
    <w:rsid w:val="000852A6"/>
    <w:rsid w:val="000A6E8C"/>
    <w:rsid w:val="000C7720"/>
    <w:rsid w:val="000F0BF9"/>
    <w:rsid w:val="00122B87"/>
    <w:rsid w:val="001332F9"/>
    <w:rsid w:val="00176817"/>
    <w:rsid w:val="00192B41"/>
    <w:rsid w:val="0019351B"/>
    <w:rsid w:val="001953E7"/>
    <w:rsid w:val="001B2456"/>
    <w:rsid w:val="001C57AB"/>
    <w:rsid w:val="001E05F1"/>
    <w:rsid w:val="002845F7"/>
    <w:rsid w:val="002872C6"/>
    <w:rsid w:val="002F03E3"/>
    <w:rsid w:val="003805D3"/>
    <w:rsid w:val="003A6D3D"/>
    <w:rsid w:val="003C0F56"/>
    <w:rsid w:val="003E0188"/>
    <w:rsid w:val="003E7F58"/>
    <w:rsid w:val="004524AD"/>
    <w:rsid w:val="004769E2"/>
    <w:rsid w:val="00511165"/>
    <w:rsid w:val="00537E99"/>
    <w:rsid w:val="00580959"/>
    <w:rsid w:val="005D52C1"/>
    <w:rsid w:val="005D6011"/>
    <w:rsid w:val="00615781"/>
    <w:rsid w:val="0063686B"/>
    <w:rsid w:val="0064680A"/>
    <w:rsid w:val="006A028F"/>
    <w:rsid w:val="006B0197"/>
    <w:rsid w:val="00721598"/>
    <w:rsid w:val="007230C8"/>
    <w:rsid w:val="007C186C"/>
    <w:rsid w:val="007F7525"/>
    <w:rsid w:val="008068E5"/>
    <w:rsid w:val="008371B1"/>
    <w:rsid w:val="00923B34"/>
    <w:rsid w:val="00927D0F"/>
    <w:rsid w:val="009819A9"/>
    <w:rsid w:val="00A11719"/>
    <w:rsid w:val="00A44546"/>
    <w:rsid w:val="00A75F86"/>
    <w:rsid w:val="00A80056"/>
    <w:rsid w:val="00AA593A"/>
    <w:rsid w:val="00AE73F6"/>
    <w:rsid w:val="00B00278"/>
    <w:rsid w:val="00B44068"/>
    <w:rsid w:val="00B857E1"/>
    <w:rsid w:val="00B86FFE"/>
    <w:rsid w:val="00B96D19"/>
    <w:rsid w:val="00B975C5"/>
    <w:rsid w:val="00BA2500"/>
    <w:rsid w:val="00BB1B47"/>
    <w:rsid w:val="00BB612D"/>
    <w:rsid w:val="00C80158"/>
    <w:rsid w:val="00CC4F85"/>
    <w:rsid w:val="00CD2023"/>
    <w:rsid w:val="00CE09ED"/>
    <w:rsid w:val="00CE3740"/>
    <w:rsid w:val="00D04BC3"/>
    <w:rsid w:val="00D57237"/>
    <w:rsid w:val="00D810DB"/>
    <w:rsid w:val="00DE1E9A"/>
    <w:rsid w:val="00E1295F"/>
    <w:rsid w:val="00E1661F"/>
    <w:rsid w:val="00E4123B"/>
    <w:rsid w:val="00E51FDA"/>
    <w:rsid w:val="00E60670"/>
    <w:rsid w:val="00E74EFB"/>
    <w:rsid w:val="00E931AC"/>
    <w:rsid w:val="00EC13FA"/>
    <w:rsid w:val="00EE7633"/>
    <w:rsid w:val="00F024F2"/>
    <w:rsid w:val="00F04745"/>
    <w:rsid w:val="00F43D30"/>
    <w:rsid w:val="00F478FB"/>
    <w:rsid w:val="00FA15DD"/>
    <w:rsid w:val="00FB1849"/>
    <w:rsid w:val="00FC26B3"/>
    <w:rsid w:val="00FD69E6"/>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D5A23"/>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Iauiue">
    <w:name w:val="Iau?iue"/>
    <w:uiPriority w:val="99"/>
    <w:rsid w:val="006A028F"/>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9B431-275C-47D9-8065-BAED3D51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10</Pages>
  <Words>5371</Words>
  <Characters>30621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63</cp:revision>
  <dcterms:created xsi:type="dcterms:W3CDTF">2025-03-20T05:09:00Z</dcterms:created>
  <dcterms:modified xsi:type="dcterms:W3CDTF">2025-09-02T09:51:00Z</dcterms:modified>
</cp:coreProperties>
</file>